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78C05" w14:textId="75817D82" w:rsidR="00A6261E" w:rsidRPr="00890CBC" w:rsidRDefault="00A6261E" w:rsidP="00A6261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110</w:t>
      </w:r>
      <w:r w:rsidRPr="00F644CF">
        <w:rPr>
          <w:rFonts w:ascii="Arial" w:hAnsi="Arial" w:cs="Arial"/>
          <w:b/>
          <w:sz w:val="24"/>
          <w:szCs w:val="24"/>
        </w:rPr>
        <w:tab/>
      </w:r>
      <w:r w:rsidRPr="003E4F90">
        <w:rPr>
          <w:rFonts w:ascii="Arial" w:hAnsi="Arial" w:cs="Arial"/>
          <w:b/>
          <w:sz w:val="24"/>
          <w:szCs w:val="24"/>
        </w:rPr>
        <w:t>R4-</w:t>
      </w:r>
      <w:r w:rsidR="006C7917" w:rsidRPr="006C7917">
        <w:rPr>
          <w:rFonts w:ascii="Arial" w:hAnsi="Arial" w:cs="Arial"/>
          <w:b/>
          <w:sz w:val="24"/>
          <w:szCs w:val="24"/>
        </w:rPr>
        <w:t>2400949</w:t>
      </w:r>
    </w:p>
    <w:p w14:paraId="6A836FF5" w14:textId="220A388F" w:rsidR="00A6261E" w:rsidRPr="00807EF6" w:rsidRDefault="00A6261E" w:rsidP="00A6261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Pr="00890CBC">
        <w:rPr>
          <w:rFonts w:ascii="Arial" w:eastAsia="SimSun" w:hAnsi="Arial"/>
          <w:b/>
          <w:sz w:val="24"/>
          <w:szCs w:val="24"/>
          <w:lang w:eastAsia="zh-CN"/>
        </w:rPr>
        <w:t xml:space="preserve">, </w:t>
      </w:r>
      <w:r>
        <w:rPr>
          <w:rFonts w:ascii="Arial" w:eastAsia="SimSun" w:hAnsi="Arial"/>
          <w:b/>
          <w:sz w:val="24"/>
          <w:szCs w:val="24"/>
          <w:lang w:eastAsia="zh-CN"/>
        </w:rPr>
        <w:t>Greece</w:t>
      </w:r>
      <w:r w:rsidRPr="00890CBC">
        <w:rPr>
          <w:rFonts w:ascii="Arial" w:eastAsia="SimSun" w:hAnsi="Arial"/>
          <w:b/>
          <w:sz w:val="24"/>
          <w:szCs w:val="24"/>
          <w:lang w:eastAsia="zh-CN"/>
        </w:rPr>
        <w:t xml:space="preserve">, </w:t>
      </w:r>
      <w:r>
        <w:rPr>
          <w:rFonts w:ascii="Arial" w:eastAsia="SimSun" w:hAnsi="Arial"/>
          <w:b/>
          <w:sz w:val="24"/>
          <w:szCs w:val="24"/>
          <w:lang w:eastAsia="zh-CN"/>
        </w:rPr>
        <w:t>26</w:t>
      </w:r>
      <w:r w:rsidRPr="00890CBC">
        <w:rPr>
          <w:rFonts w:ascii="Arial" w:eastAsia="SimSun" w:hAnsi="Arial"/>
          <w:b/>
          <w:sz w:val="24"/>
          <w:szCs w:val="24"/>
          <w:lang w:eastAsia="zh-CN"/>
        </w:rPr>
        <w:t xml:space="preserve"> </w:t>
      </w:r>
      <w:r>
        <w:rPr>
          <w:rFonts w:ascii="Arial" w:eastAsia="SimSun" w:hAnsi="Arial"/>
          <w:b/>
          <w:sz w:val="24"/>
          <w:szCs w:val="24"/>
          <w:lang w:eastAsia="zh-CN"/>
        </w:rPr>
        <w:t>Feb.</w:t>
      </w:r>
      <w:r w:rsidR="008D42C5">
        <w:rPr>
          <w:rFonts w:ascii="Arial" w:eastAsia="SimSun" w:hAnsi="Arial"/>
          <w:b/>
          <w:sz w:val="24"/>
          <w:szCs w:val="24"/>
          <w:lang w:eastAsia="zh-CN"/>
        </w:rPr>
        <w:t xml:space="preserve"> </w:t>
      </w:r>
      <w:r w:rsidRPr="00890CBC">
        <w:rPr>
          <w:rFonts w:ascii="Arial" w:eastAsia="SimSun" w:hAnsi="Arial"/>
          <w:b/>
          <w:sz w:val="24"/>
          <w:szCs w:val="24"/>
          <w:lang w:eastAsia="zh-CN"/>
        </w:rPr>
        <w:t xml:space="preserve">– </w:t>
      </w:r>
      <w:r>
        <w:rPr>
          <w:rFonts w:ascii="Arial" w:eastAsia="SimSun" w:hAnsi="Arial"/>
          <w:b/>
          <w:sz w:val="24"/>
          <w:szCs w:val="24"/>
          <w:lang w:eastAsia="zh-CN"/>
        </w:rPr>
        <w:t>1 March</w:t>
      </w:r>
      <w:r w:rsidRPr="00890CBC">
        <w:rPr>
          <w:rFonts w:ascii="Arial" w:eastAsia="SimSun" w:hAnsi="Arial"/>
          <w:b/>
          <w:sz w:val="24"/>
          <w:szCs w:val="24"/>
          <w:lang w:eastAsia="zh-CN"/>
        </w:rPr>
        <w:t>, 202</w:t>
      </w:r>
      <w:r>
        <w:rPr>
          <w:rFonts w:ascii="Arial" w:eastAsia="SimSun" w:hAnsi="Arial"/>
          <w:b/>
          <w:sz w:val="24"/>
          <w:szCs w:val="24"/>
          <w:lang w:eastAsia="zh-CN"/>
        </w:rPr>
        <w:t>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E23DF4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Pr>
          <w:rFonts w:ascii="Arial" w:hAnsi="Arial" w:cs="Arial" w:hint="eastAsia"/>
          <w:lang w:val="en-US" w:eastAsia="ko-KR"/>
        </w:rPr>
        <w:t xml:space="preserve">Discussion on </w:t>
      </w:r>
      <w:r w:rsidR="00354F67">
        <w:rPr>
          <w:rFonts w:ascii="Arial" w:hAnsi="Arial" w:cs="Arial"/>
          <w:lang w:val="en-US" w:eastAsia="ko-KR"/>
        </w:rPr>
        <w:t>RRM performance</w:t>
      </w:r>
      <w:r>
        <w:rPr>
          <w:rFonts w:ascii="Arial" w:hAnsi="Arial" w:cs="Arial"/>
          <w:lang w:val="en-US" w:eastAsia="ko-KR"/>
        </w:rPr>
        <w:t xml:space="preserve"> for </w:t>
      </w:r>
      <w:r w:rsidR="001B50D8">
        <w:rPr>
          <w:rFonts w:ascii="Arial" w:hAnsi="Arial" w:cs="Arial" w:hint="eastAsia"/>
          <w:lang w:val="en-US" w:eastAsia="ko-KR"/>
        </w:rPr>
        <w:t>ATG</w:t>
      </w:r>
    </w:p>
    <w:p w14:paraId="4B3E04CF" w14:textId="6C40CE09"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354F67">
        <w:rPr>
          <w:rFonts w:ascii="Arial" w:hAnsi="Arial" w:cs="Arial"/>
          <w:lang w:val="en-US" w:eastAsia="ko-KR"/>
        </w:rPr>
        <w:t>8.</w:t>
      </w:r>
      <w:r w:rsidR="00771090">
        <w:rPr>
          <w:rFonts w:ascii="Arial" w:hAnsi="Arial" w:cs="Arial"/>
          <w:lang w:val="en-US" w:eastAsia="ko-KR"/>
        </w:rPr>
        <w:t>9.6</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70B12718"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sidR="000849B4">
        <w:rPr>
          <w:lang w:val="en-US" w:eastAsia="ko-KR"/>
        </w:rPr>
        <w:t xml:space="preserve">test cases for </w:t>
      </w:r>
      <w:r w:rsidR="00CE6633">
        <w:rPr>
          <w:lang w:val="en-US" w:eastAsia="ko-KR"/>
        </w:rPr>
        <w:t xml:space="preserve">RRM performance part on </w:t>
      </w:r>
      <w:r w:rsidR="001B50D8">
        <w:rPr>
          <w:lang w:val="en-US" w:eastAsia="ko-KR"/>
        </w:rPr>
        <w:t>ATG</w:t>
      </w:r>
      <w:r w:rsidR="00C564C5">
        <w:rPr>
          <w:lang w:val="en-US" w:eastAsia="ko-KR"/>
        </w:rPr>
        <w:t xml:space="preserve"> based on WF[1].</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168ADF55" w14:textId="4F23FF32" w:rsidR="00EC39B1" w:rsidRPr="00882DC0" w:rsidRDefault="0000715E" w:rsidP="001B50D8">
      <w:pPr>
        <w:pStyle w:val="a0"/>
        <w:jc w:val="both"/>
        <w:rPr>
          <w:b/>
          <w:u w:val="single"/>
          <w:lang w:eastAsia="ko-KR"/>
        </w:rPr>
      </w:pPr>
      <w:r w:rsidRPr="00882DC0">
        <w:rPr>
          <w:rFonts w:hint="eastAsia"/>
          <w:b/>
          <w:u w:val="single"/>
          <w:lang w:eastAsia="ko-KR"/>
        </w:rPr>
        <w:t>TDD pattern</w:t>
      </w:r>
    </w:p>
    <w:p w14:paraId="2B2E1AB4" w14:textId="306C599F" w:rsidR="0000715E" w:rsidRDefault="00882DC0" w:rsidP="001B50D8">
      <w:pPr>
        <w:pStyle w:val="a0"/>
        <w:jc w:val="both"/>
        <w:rPr>
          <w:lang w:eastAsia="ko-KR"/>
        </w:rPr>
      </w:pPr>
      <w:r>
        <w:rPr>
          <w:lang w:eastAsia="ko-KR"/>
        </w:rPr>
        <w:t>For test configuration, introducing new TDD pattern was agreed</w:t>
      </w:r>
      <w:r w:rsidR="00074AC4">
        <w:rPr>
          <w:lang w:eastAsia="ko-KR"/>
        </w:rPr>
        <w:t xml:space="preserve"> below</w:t>
      </w:r>
      <w:r>
        <w:rPr>
          <w:lang w:eastAsia="ko-KR"/>
        </w:rPr>
        <w:t>.</w:t>
      </w:r>
    </w:p>
    <w:tbl>
      <w:tblPr>
        <w:tblStyle w:val="a9"/>
        <w:tblW w:w="0" w:type="auto"/>
        <w:tblLook w:val="04A0" w:firstRow="1" w:lastRow="0" w:firstColumn="1" w:lastColumn="0" w:noHBand="0" w:noVBand="1"/>
      </w:tblPr>
      <w:tblGrid>
        <w:gridCol w:w="9855"/>
      </w:tblGrid>
      <w:tr w:rsidR="0000715E" w14:paraId="7EE37C91" w14:textId="77777777" w:rsidTr="0000715E">
        <w:tc>
          <w:tcPr>
            <w:tcW w:w="9855" w:type="dxa"/>
          </w:tcPr>
          <w:p w14:paraId="782EC740" w14:textId="77777777" w:rsidR="0000715E" w:rsidRDefault="0000715E" w:rsidP="0000715E">
            <w:pPr>
              <w:pStyle w:val="ad"/>
              <w:numPr>
                <w:ilvl w:val="1"/>
                <w:numId w:val="3"/>
              </w:numPr>
              <w:spacing w:after="120"/>
              <w:ind w:leftChars="0" w:left="313" w:hanging="284"/>
            </w:pPr>
            <w:r>
              <w:rPr>
                <w:rFonts w:eastAsia="SimSun" w:hint="eastAsia"/>
              </w:rPr>
              <w:t>The legacy TDD pattern are used as baseline TDD pattern for all ATG test cases.</w:t>
            </w:r>
          </w:p>
          <w:p w14:paraId="359ED6C4" w14:textId="77777777" w:rsidR="0000715E" w:rsidRDefault="0000715E" w:rsidP="0000715E">
            <w:pPr>
              <w:pStyle w:val="ad"/>
              <w:numPr>
                <w:ilvl w:val="1"/>
                <w:numId w:val="3"/>
              </w:numPr>
              <w:spacing w:after="120"/>
              <w:ind w:leftChars="0" w:left="313" w:hanging="284"/>
            </w:pPr>
            <w:r>
              <w:rPr>
                <w:rFonts w:eastAsia="SimSun" w:hint="eastAsia"/>
              </w:rPr>
              <w:t xml:space="preserve">In Section A.3.1.4, define a new TDD configuration with the pattern of  </w:t>
            </w:r>
            <w:r>
              <w:rPr>
                <w:rFonts w:eastAsia="SimSun"/>
              </w:rPr>
              <w:t>‘</w:t>
            </w:r>
            <w:r>
              <w:rPr>
                <w:rFonts w:eastAsia="SimSun" w:hint="eastAsia"/>
              </w:rPr>
              <w:t>30D4S6U</w:t>
            </w:r>
            <w:r>
              <w:rPr>
                <w:rFonts w:eastAsia="SimSun"/>
              </w:rPr>
              <w:t>’</w:t>
            </w:r>
            <w:r>
              <w:rPr>
                <w:rFonts w:eastAsia="SimSun" w:hint="eastAsia"/>
              </w:rPr>
              <w:t xml:space="preserve"> for ATG UE.</w:t>
            </w:r>
          </w:p>
          <w:p w14:paraId="29A1E210" w14:textId="77777777" w:rsidR="0000715E" w:rsidRDefault="0000715E" w:rsidP="0000715E">
            <w:pPr>
              <w:pStyle w:val="ad"/>
              <w:numPr>
                <w:ilvl w:val="1"/>
                <w:numId w:val="3"/>
              </w:numPr>
              <w:spacing w:after="120"/>
              <w:ind w:leftChars="0" w:left="313" w:hanging="284"/>
            </w:pPr>
            <w:r>
              <w:rPr>
                <w:rFonts w:eastAsia="SimSun" w:hint="eastAsia"/>
              </w:rPr>
              <w:t xml:space="preserve">Introduce the new TDD pattern </w:t>
            </w:r>
            <w:r>
              <w:rPr>
                <w:rFonts w:eastAsia="SimSun"/>
              </w:rPr>
              <w:t>‘</w:t>
            </w:r>
            <w:r>
              <w:rPr>
                <w:rFonts w:eastAsia="SimSun" w:hint="eastAsia"/>
              </w:rPr>
              <w:t>30D4S6U</w:t>
            </w:r>
            <w:r>
              <w:rPr>
                <w:rFonts w:eastAsia="SimSun"/>
              </w:rPr>
              <w:t>’</w:t>
            </w:r>
            <w:r>
              <w:rPr>
                <w:rFonts w:eastAsia="SimSun" w:hint="eastAsia"/>
              </w:rPr>
              <w:t xml:space="preserve"> in one or more ATG test cases. FFS which test cases. </w:t>
            </w:r>
          </w:p>
          <w:p w14:paraId="426A56E1" w14:textId="77777777" w:rsidR="0000715E" w:rsidRDefault="0000715E" w:rsidP="0000715E">
            <w:pPr>
              <w:pStyle w:val="ad"/>
              <w:numPr>
                <w:ilvl w:val="1"/>
                <w:numId w:val="3"/>
              </w:numPr>
              <w:spacing w:after="120"/>
              <w:ind w:leftChars="0" w:left="313" w:hanging="284"/>
              <w:rPr>
                <w:rFonts w:eastAsia="SimSun"/>
              </w:rPr>
            </w:pPr>
            <w:r>
              <w:rPr>
                <w:rFonts w:eastAsia="SimSun"/>
              </w:rPr>
              <w:t>In the test, t</w:t>
            </w:r>
            <w:r>
              <w:rPr>
                <w:rFonts w:eastAsia="SimSun" w:hint="eastAsia"/>
              </w:rPr>
              <w:t xml:space="preserve">he new TDD pattern configuration only applies to UE supporting </w:t>
            </w:r>
            <w:r>
              <w:rPr>
                <w:rFonts w:eastAsia="SimSun"/>
              </w:rPr>
              <w:t>increasing the number of HARQ processes and K1 range extension.</w:t>
            </w:r>
          </w:p>
          <w:p w14:paraId="26ED7663" w14:textId="37D2C075" w:rsidR="0000715E" w:rsidRPr="0000715E" w:rsidRDefault="0000715E" w:rsidP="0000715E">
            <w:pPr>
              <w:pStyle w:val="ad"/>
              <w:numPr>
                <w:ilvl w:val="1"/>
                <w:numId w:val="3"/>
              </w:numPr>
              <w:spacing w:after="120"/>
              <w:ind w:leftChars="0" w:left="313" w:hanging="284"/>
              <w:rPr>
                <w:rFonts w:eastAsia="SimSun"/>
              </w:rPr>
            </w:pPr>
            <w:r>
              <w:rPr>
                <w:rFonts w:eastAsia="SimSun" w:hint="eastAsia"/>
              </w:rPr>
              <w:t xml:space="preserve">If UE pass the test cases with new TDD pattern, the same test cases with legacy TDD pattern can be </w:t>
            </w:r>
            <w:r>
              <w:rPr>
                <w:rFonts w:eastAsia="SimSun"/>
              </w:rPr>
              <w:t>skipped</w:t>
            </w:r>
            <w:r>
              <w:rPr>
                <w:rFonts w:eastAsia="SimSun" w:hint="eastAsia"/>
              </w:rPr>
              <w:t>.</w:t>
            </w:r>
          </w:p>
        </w:tc>
      </w:tr>
    </w:tbl>
    <w:p w14:paraId="133E1122" w14:textId="211E65C3" w:rsidR="0000715E" w:rsidRDefault="00882DC0" w:rsidP="001B50D8">
      <w:pPr>
        <w:pStyle w:val="a0"/>
        <w:jc w:val="both"/>
        <w:rPr>
          <w:lang w:eastAsia="ko-KR"/>
        </w:rPr>
      </w:pPr>
      <w:r>
        <w:rPr>
          <w:lang w:eastAsia="ko-KR"/>
        </w:rPr>
        <w:t xml:space="preserve">For new TDD pattern, new TDD pattern does not need to be considered for all test cases. Only one test case </w:t>
      </w:r>
      <w:r w:rsidR="00E01508">
        <w:rPr>
          <w:lang w:eastAsia="ko-KR"/>
        </w:rPr>
        <w:t>using</w:t>
      </w:r>
      <w:r>
        <w:rPr>
          <w:lang w:eastAsia="ko-KR"/>
        </w:rPr>
        <w:t xml:space="preserve"> new TDD pattern could be introduced and legacy TDD pattern could be configured for other test cases. The test case for active BWP switch requirement with new TDD pattern could be considered.</w:t>
      </w:r>
    </w:p>
    <w:p w14:paraId="630B64F4" w14:textId="2511C1CC" w:rsidR="00882DC0" w:rsidRPr="00E15DC5" w:rsidRDefault="00882DC0" w:rsidP="00882DC0">
      <w:pPr>
        <w:pStyle w:val="a0"/>
        <w:numPr>
          <w:ilvl w:val="0"/>
          <w:numId w:val="49"/>
        </w:numPr>
        <w:jc w:val="both"/>
        <w:rPr>
          <w:lang w:eastAsia="ko-KR"/>
        </w:rPr>
      </w:pPr>
      <w:r w:rsidRPr="00882DC0">
        <w:rPr>
          <w:b/>
          <w:i/>
          <w:lang w:eastAsia="ko-KR"/>
        </w:rPr>
        <w:t>Proposal 1</w:t>
      </w:r>
      <w:r>
        <w:rPr>
          <w:lang w:eastAsia="ko-KR"/>
        </w:rPr>
        <w:t>: Introduce only one test case with new TDD pattern, e.g.</w:t>
      </w:r>
      <w:r w:rsidR="00E01508">
        <w:rPr>
          <w:lang w:eastAsia="ko-KR"/>
        </w:rPr>
        <w:t>,</w:t>
      </w:r>
      <w:r>
        <w:rPr>
          <w:lang w:eastAsia="ko-KR"/>
        </w:rPr>
        <w:t xml:space="preserve"> active BWP switch.</w:t>
      </w:r>
    </w:p>
    <w:p w14:paraId="519D55E1" w14:textId="77777777" w:rsidR="00E15DC5" w:rsidRDefault="00E15DC5" w:rsidP="00E15DC5">
      <w:pPr>
        <w:pStyle w:val="a0"/>
        <w:jc w:val="both"/>
        <w:rPr>
          <w:lang w:eastAsia="ko-KR"/>
        </w:rPr>
      </w:pPr>
    </w:p>
    <w:p w14:paraId="02FB1EFA" w14:textId="76E003DB" w:rsidR="00882DC0" w:rsidRDefault="00882DC0" w:rsidP="00E15DC5">
      <w:pPr>
        <w:pStyle w:val="a0"/>
        <w:jc w:val="both"/>
        <w:rPr>
          <w:b/>
          <w:u w:val="single"/>
          <w:lang w:eastAsia="ko-KR"/>
        </w:rPr>
      </w:pPr>
      <w:r>
        <w:rPr>
          <w:rFonts w:hint="eastAsia"/>
          <w:b/>
          <w:u w:val="single"/>
          <w:lang w:eastAsia="ko-KR"/>
        </w:rPr>
        <w:t>Test method for UE with antenna array</w:t>
      </w:r>
    </w:p>
    <w:p w14:paraId="0B00DAC1" w14:textId="2F3BCE14" w:rsidR="00882DC0" w:rsidRDefault="00074AC4" w:rsidP="00E15DC5">
      <w:pPr>
        <w:pStyle w:val="a0"/>
        <w:jc w:val="both"/>
        <w:rPr>
          <w:lang w:eastAsia="ko-KR"/>
        </w:rPr>
      </w:pPr>
      <w:r>
        <w:rPr>
          <w:rFonts w:hint="eastAsia"/>
          <w:lang w:val="en-US" w:eastAsia="ko-KR"/>
        </w:rPr>
        <w:t xml:space="preserve">For test UE with antenna array, </w:t>
      </w:r>
      <w:r>
        <w:rPr>
          <w:lang w:val="en-US" w:eastAsia="ko-KR"/>
        </w:rPr>
        <w:t>it is difficult to test by OTA in FR1</w:t>
      </w:r>
      <w:r w:rsidR="00CB0FE6">
        <w:rPr>
          <w:lang w:val="en-US" w:eastAsia="ko-KR"/>
        </w:rPr>
        <w:t xml:space="preserve"> for ATG</w:t>
      </w:r>
      <w:r>
        <w:rPr>
          <w:lang w:val="en-US" w:eastAsia="ko-KR"/>
        </w:rPr>
        <w:t>,</w:t>
      </w:r>
      <w:r w:rsidR="00CB0FE6">
        <w:rPr>
          <w:lang w:val="en-US" w:eastAsia="ko-KR"/>
        </w:rPr>
        <w:t xml:space="preserve"> so</w:t>
      </w:r>
      <w:r>
        <w:rPr>
          <w:lang w:val="en-US" w:eastAsia="ko-KR"/>
        </w:rPr>
        <w:t xml:space="preserve"> the con</w:t>
      </w:r>
      <w:r w:rsidR="00CB0FE6">
        <w:rPr>
          <w:lang w:val="en-US" w:eastAsia="ko-KR"/>
        </w:rPr>
        <w:t xml:space="preserve">ducted test could be reasonable. Since UE supporting </w:t>
      </w:r>
      <w:r w:rsidR="00CB0FE6" w:rsidRPr="00CB0FE6">
        <w:rPr>
          <w:i/>
          <w:lang w:val="en-US" w:eastAsia="ko-KR"/>
        </w:rPr>
        <w:t>antennaArrayType</w:t>
      </w:r>
      <w:r w:rsidR="00CB0FE6">
        <w:rPr>
          <w:lang w:val="en-US" w:eastAsia="ko-KR"/>
        </w:rPr>
        <w:t xml:space="preserve"> consider beam sweeping, the scaling factor for beam sweeping could be considered in the test </w:t>
      </w:r>
      <w:r w:rsidR="009B24DC">
        <w:rPr>
          <w:lang w:val="en-US" w:eastAsia="ko-KR"/>
        </w:rPr>
        <w:t>requirements</w:t>
      </w:r>
      <w:r w:rsidR="00CB0FE6">
        <w:rPr>
          <w:lang w:val="en-US" w:eastAsia="ko-KR"/>
        </w:rPr>
        <w:t xml:space="preserve">. </w:t>
      </w:r>
      <w:r>
        <w:rPr>
          <w:lang w:val="en-US" w:eastAsia="ko-KR"/>
        </w:rPr>
        <w:t xml:space="preserve"> </w:t>
      </w:r>
    </w:p>
    <w:tbl>
      <w:tblPr>
        <w:tblStyle w:val="a9"/>
        <w:tblW w:w="0" w:type="auto"/>
        <w:tblLook w:val="04A0" w:firstRow="1" w:lastRow="0" w:firstColumn="1" w:lastColumn="0" w:noHBand="0" w:noVBand="1"/>
      </w:tblPr>
      <w:tblGrid>
        <w:gridCol w:w="9855"/>
      </w:tblGrid>
      <w:tr w:rsidR="00074AC4" w14:paraId="2E62AA0A" w14:textId="77777777" w:rsidTr="00074AC4">
        <w:tc>
          <w:tcPr>
            <w:tcW w:w="9855" w:type="dxa"/>
          </w:tcPr>
          <w:p w14:paraId="1A21FC4E" w14:textId="77777777" w:rsidR="00074AC4" w:rsidRDefault="00074AC4" w:rsidP="00074AC4">
            <w:pPr>
              <w:pStyle w:val="ad"/>
              <w:numPr>
                <w:ilvl w:val="1"/>
                <w:numId w:val="3"/>
              </w:numPr>
              <w:spacing w:after="120"/>
              <w:ind w:leftChars="0" w:left="313" w:hanging="284"/>
              <w:rPr>
                <w:rFonts w:eastAsia="SimSun"/>
              </w:rPr>
            </w:pPr>
            <w:r>
              <w:rPr>
                <w:rFonts w:eastAsia="SimSun"/>
              </w:rPr>
              <w:t>Option 1: The approach of only to introduce the scaling factor in the RRM core requirement and not to have the scaling factor in the tests is more simpler and cheaper.</w:t>
            </w:r>
            <w:r>
              <w:rPr>
                <w:rFonts w:eastAsia="SimSun" w:hint="eastAsia"/>
              </w:rPr>
              <w:t xml:space="preserve"> (CATT)</w:t>
            </w:r>
          </w:p>
          <w:p w14:paraId="24D8F86E" w14:textId="77777777" w:rsidR="00074AC4" w:rsidRDefault="00074AC4" w:rsidP="00074AC4">
            <w:pPr>
              <w:pStyle w:val="ad"/>
              <w:numPr>
                <w:ilvl w:val="1"/>
                <w:numId w:val="3"/>
              </w:numPr>
              <w:spacing w:after="120"/>
              <w:ind w:leftChars="0" w:left="313" w:hanging="284"/>
              <w:rPr>
                <w:rFonts w:eastAsia="SimSun"/>
              </w:rPr>
            </w:pPr>
            <w:r>
              <w:rPr>
                <w:rFonts w:eastAsia="SimSun" w:hint="eastAsia"/>
              </w:rPr>
              <w:t>Option 2: Conducted test should be reused for ATG UE with antenna array, the scaling factor need to be considered in the test requirements. (CMCC, LGE, HW)</w:t>
            </w:r>
          </w:p>
          <w:p w14:paraId="32BF615D" w14:textId="77777777" w:rsidR="00074AC4" w:rsidRDefault="00074AC4" w:rsidP="00074AC4">
            <w:pPr>
              <w:pStyle w:val="ad"/>
              <w:numPr>
                <w:ilvl w:val="1"/>
                <w:numId w:val="3"/>
              </w:numPr>
              <w:spacing w:after="120"/>
              <w:ind w:leftChars="0" w:left="313" w:hanging="284"/>
              <w:rPr>
                <w:rFonts w:eastAsia="SimSun"/>
              </w:rPr>
            </w:pPr>
            <w:r>
              <w:rPr>
                <w:rFonts w:eastAsia="SimSun" w:hint="eastAsia"/>
              </w:rPr>
              <w:t xml:space="preserve">Option 3: </w:t>
            </w:r>
            <w:r>
              <w:rPr>
                <w:rFonts w:eastAsia="SimSun"/>
              </w:rPr>
              <w:t>RAN4 to consult RAN5 feedback on whether it is feasibility to define test cases for ATG UEs in FR1 with beam</w:t>
            </w:r>
            <w:r>
              <w:rPr>
                <w:rFonts w:eastAsia="SimSun" w:hint="eastAsia"/>
              </w:rPr>
              <w:t xml:space="preserve"> </w:t>
            </w:r>
            <w:r>
              <w:rPr>
                <w:rFonts w:eastAsia="SimSun"/>
              </w:rPr>
              <w:t>sweeping capability.</w:t>
            </w:r>
            <w:r>
              <w:rPr>
                <w:rFonts w:eastAsia="SimSun" w:hint="eastAsia"/>
              </w:rPr>
              <w:t xml:space="preserve"> (Ericsson)</w:t>
            </w:r>
          </w:p>
          <w:p w14:paraId="7306F89C" w14:textId="77777777" w:rsidR="00074AC4" w:rsidRDefault="00074AC4" w:rsidP="00074AC4">
            <w:pPr>
              <w:pStyle w:val="ad"/>
              <w:numPr>
                <w:ilvl w:val="1"/>
                <w:numId w:val="3"/>
              </w:numPr>
              <w:spacing w:after="120"/>
              <w:ind w:leftChars="0" w:left="313" w:hanging="284"/>
              <w:rPr>
                <w:rFonts w:eastAsia="SimSun"/>
              </w:rPr>
            </w:pPr>
            <w:r>
              <w:rPr>
                <w:rFonts w:eastAsia="SimSun" w:hint="eastAsia"/>
              </w:rPr>
              <w:t xml:space="preserve">Option 4: </w:t>
            </w:r>
            <w:r>
              <w:rPr>
                <w:rFonts w:eastAsia="SimSun"/>
              </w:rPr>
              <w:t>Two alternatives for the test method with antenna array assumption:</w:t>
            </w:r>
            <w:r>
              <w:rPr>
                <w:rFonts w:eastAsia="SimSun" w:hint="eastAsia"/>
              </w:rPr>
              <w:t xml:space="preserve"> (ZTE)</w:t>
            </w:r>
          </w:p>
          <w:p w14:paraId="6D7C71FA" w14:textId="77777777" w:rsidR="00074AC4" w:rsidRDefault="00074AC4" w:rsidP="00074AC4">
            <w:pPr>
              <w:pStyle w:val="ad"/>
              <w:numPr>
                <w:ilvl w:val="2"/>
                <w:numId w:val="3"/>
              </w:numPr>
              <w:spacing w:after="120"/>
              <w:ind w:leftChars="0" w:left="596" w:hanging="283"/>
              <w:rPr>
                <w:rFonts w:eastAsia="SimSun"/>
              </w:rPr>
            </w:pPr>
            <w:r>
              <w:rPr>
                <w:rFonts w:eastAsia="SimSun"/>
              </w:rPr>
              <w:t>Alternative 1: Define OTA test to verify beam sweeping for ATG UE with phase antenna array capability.</w:t>
            </w:r>
            <w:r>
              <w:rPr>
                <w:rFonts w:eastAsia="SimSun" w:hint="eastAsia"/>
              </w:rPr>
              <w:t xml:space="preserve"> (CATT open to discuss the feasibility)</w:t>
            </w:r>
          </w:p>
          <w:p w14:paraId="70635938" w14:textId="584C15EA" w:rsidR="00074AC4" w:rsidRPr="00074AC4" w:rsidRDefault="00074AC4" w:rsidP="00074AC4">
            <w:pPr>
              <w:pStyle w:val="ad"/>
              <w:numPr>
                <w:ilvl w:val="2"/>
                <w:numId w:val="3"/>
              </w:numPr>
              <w:spacing w:after="120"/>
              <w:ind w:leftChars="0" w:left="596" w:hanging="283"/>
              <w:rPr>
                <w:rFonts w:eastAsia="SimSun"/>
              </w:rPr>
            </w:pPr>
            <w:r>
              <w:rPr>
                <w:rFonts w:eastAsia="SimSun"/>
              </w:rPr>
              <w:t>Alternative 2: Not to distinguish the test between conductive test and OTA test, only focus on the requirements of delay. Leave the test details to actual implementation.</w:t>
            </w:r>
          </w:p>
        </w:tc>
      </w:tr>
    </w:tbl>
    <w:p w14:paraId="47B6FACF" w14:textId="1BDCC950" w:rsidR="00074AC4" w:rsidRPr="00CB0FE6" w:rsidRDefault="00CB0FE6" w:rsidP="00CB0FE6">
      <w:pPr>
        <w:pStyle w:val="a0"/>
        <w:numPr>
          <w:ilvl w:val="0"/>
          <w:numId w:val="49"/>
        </w:numPr>
        <w:jc w:val="both"/>
        <w:rPr>
          <w:lang w:eastAsia="ko-KR"/>
        </w:rPr>
      </w:pPr>
      <w:r w:rsidRPr="00CB0FE6">
        <w:rPr>
          <w:b/>
          <w:i/>
          <w:lang w:eastAsia="ko-KR"/>
        </w:rPr>
        <w:t>Proposal 2</w:t>
      </w:r>
      <w:r>
        <w:rPr>
          <w:lang w:eastAsia="ko-KR"/>
        </w:rPr>
        <w:t xml:space="preserve">: Consider option 2 for test requirement for </w:t>
      </w:r>
      <w:r>
        <w:rPr>
          <w:lang w:val="en-US" w:eastAsia="ko-KR"/>
        </w:rPr>
        <w:t xml:space="preserve">UE supporting </w:t>
      </w:r>
      <w:r w:rsidRPr="00CB0FE6">
        <w:rPr>
          <w:i/>
          <w:lang w:val="en-US" w:eastAsia="ko-KR"/>
        </w:rPr>
        <w:t>antennaArrayType</w:t>
      </w:r>
    </w:p>
    <w:p w14:paraId="5354B13E" w14:textId="2F2F2356" w:rsidR="00CB0FE6" w:rsidRPr="00A6261E" w:rsidRDefault="00CB0FE6" w:rsidP="00CB0FE6">
      <w:pPr>
        <w:pStyle w:val="a0"/>
        <w:numPr>
          <w:ilvl w:val="1"/>
          <w:numId w:val="49"/>
        </w:numPr>
        <w:ind w:left="1985" w:hanging="284"/>
        <w:jc w:val="both"/>
        <w:rPr>
          <w:lang w:eastAsia="ko-KR"/>
        </w:rPr>
      </w:pPr>
      <w:r>
        <w:rPr>
          <w:lang w:eastAsia="ko-KR"/>
        </w:rPr>
        <w:t xml:space="preserve">Option 2: </w:t>
      </w:r>
      <w:r w:rsidRPr="00CB0FE6">
        <w:rPr>
          <w:lang w:eastAsia="ko-KR"/>
        </w:rPr>
        <w:t>Conducted test should be reused for ATG UE with antenna array, the scaling factor need to be considered in the test requirements</w:t>
      </w:r>
    </w:p>
    <w:p w14:paraId="19C15425" w14:textId="4EF29D74" w:rsidR="001171FA" w:rsidRDefault="004D5496" w:rsidP="00D4523D">
      <w:pPr>
        <w:pStyle w:val="1"/>
        <w:jc w:val="both"/>
        <w:rPr>
          <w:lang w:val="en-US" w:eastAsia="ko-KR"/>
        </w:rPr>
      </w:pPr>
      <w:r>
        <w:rPr>
          <w:lang w:val="en-US" w:eastAsia="ko-KR"/>
        </w:rPr>
        <w:lastRenderedPageBreak/>
        <w:t>C</w:t>
      </w:r>
      <w:r w:rsidR="001171FA">
        <w:rPr>
          <w:rFonts w:hint="eastAsia"/>
          <w:lang w:val="en-US" w:eastAsia="ko-KR"/>
        </w:rPr>
        <w:t xml:space="preserve">onclusion </w:t>
      </w:r>
    </w:p>
    <w:p w14:paraId="28C5D7D3" w14:textId="42C9D422"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770982">
        <w:rPr>
          <w:lang w:val="en-US" w:eastAsia="ko-KR"/>
        </w:rPr>
        <w:t xml:space="preserve">views on </w:t>
      </w:r>
      <w:r w:rsidR="001829BB">
        <w:rPr>
          <w:lang w:val="en-US" w:eastAsia="ko-KR"/>
        </w:rPr>
        <w:t xml:space="preserve">the test cases for RRM performance part on </w:t>
      </w:r>
      <w:r w:rsidR="00CB0FE6">
        <w:rPr>
          <w:lang w:val="en-US" w:eastAsia="ko-KR"/>
        </w:rPr>
        <w:t>ATG</w:t>
      </w:r>
      <w:r w:rsidR="005D5713">
        <w:rPr>
          <w:lang w:val="en-US" w:eastAsia="ko-KR"/>
        </w:rPr>
        <w:t>, and we propose</w:t>
      </w:r>
    </w:p>
    <w:p w14:paraId="7C630776" w14:textId="019E5D83" w:rsidR="00CB0FE6" w:rsidRPr="00E15DC5" w:rsidRDefault="00CB0FE6" w:rsidP="00CB0FE6">
      <w:pPr>
        <w:pStyle w:val="a0"/>
        <w:numPr>
          <w:ilvl w:val="0"/>
          <w:numId w:val="49"/>
        </w:numPr>
        <w:jc w:val="both"/>
        <w:rPr>
          <w:lang w:eastAsia="ko-KR"/>
        </w:rPr>
      </w:pPr>
      <w:r w:rsidRPr="00882DC0">
        <w:rPr>
          <w:b/>
          <w:i/>
          <w:lang w:eastAsia="ko-KR"/>
        </w:rPr>
        <w:t>Proposal 1</w:t>
      </w:r>
      <w:r>
        <w:rPr>
          <w:lang w:eastAsia="ko-KR"/>
        </w:rPr>
        <w:t>: Introduce only one test case with new TDD pattern, e.g</w:t>
      </w:r>
      <w:r w:rsidR="00E01508">
        <w:rPr>
          <w:lang w:eastAsia="ko-KR"/>
        </w:rPr>
        <w:t>.</w:t>
      </w:r>
      <w:bookmarkStart w:id="0" w:name="_GoBack"/>
      <w:bookmarkEnd w:id="0"/>
      <w:r>
        <w:rPr>
          <w:lang w:eastAsia="ko-KR"/>
        </w:rPr>
        <w:t>, active BWP switch.</w:t>
      </w:r>
    </w:p>
    <w:p w14:paraId="5367A771" w14:textId="77777777" w:rsidR="00CB0FE6" w:rsidRPr="00CB0FE6" w:rsidRDefault="00CB0FE6" w:rsidP="00CB0FE6">
      <w:pPr>
        <w:pStyle w:val="a0"/>
        <w:numPr>
          <w:ilvl w:val="0"/>
          <w:numId w:val="49"/>
        </w:numPr>
        <w:jc w:val="both"/>
        <w:rPr>
          <w:lang w:eastAsia="ko-KR"/>
        </w:rPr>
      </w:pPr>
      <w:r w:rsidRPr="00CB0FE6">
        <w:rPr>
          <w:b/>
          <w:i/>
          <w:lang w:eastAsia="ko-KR"/>
        </w:rPr>
        <w:t>Proposal 2</w:t>
      </w:r>
      <w:r>
        <w:rPr>
          <w:lang w:eastAsia="ko-KR"/>
        </w:rPr>
        <w:t xml:space="preserve">: Consider option 2 for test requirement for </w:t>
      </w:r>
      <w:r>
        <w:rPr>
          <w:lang w:val="en-US" w:eastAsia="ko-KR"/>
        </w:rPr>
        <w:t xml:space="preserve">UE supporting </w:t>
      </w:r>
      <w:r w:rsidRPr="00CB0FE6">
        <w:rPr>
          <w:i/>
          <w:lang w:val="en-US" w:eastAsia="ko-KR"/>
        </w:rPr>
        <w:t>antennaArrayType</w:t>
      </w:r>
    </w:p>
    <w:p w14:paraId="4A8F8A5E" w14:textId="77777777" w:rsidR="00CB0FE6" w:rsidRPr="00A6261E" w:rsidRDefault="00CB0FE6" w:rsidP="00CB0FE6">
      <w:pPr>
        <w:pStyle w:val="a0"/>
        <w:numPr>
          <w:ilvl w:val="1"/>
          <w:numId w:val="49"/>
        </w:numPr>
        <w:ind w:left="1985" w:hanging="284"/>
        <w:jc w:val="both"/>
        <w:rPr>
          <w:lang w:eastAsia="ko-KR"/>
        </w:rPr>
      </w:pPr>
      <w:r>
        <w:rPr>
          <w:lang w:eastAsia="ko-KR"/>
        </w:rPr>
        <w:t xml:space="preserve">Option 2: </w:t>
      </w:r>
      <w:r w:rsidRPr="00CB0FE6">
        <w:rPr>
          <w:lang w:eastAsia="ko-KR"/>
        </w:rPr>
        <w:t>Conducted test should be reused for ATG UE with antenna array, the scaling factor need to be considered in the test requirements</w:t>
      </w:r>
    </w:p>
    <w:p w14:paraId="35472425" w14:textId="77777777" w:rsidR="00E15DC5" w:rsidRPr="00CB0FE6" w:rsidRDefault="00E15DC5" w:rsidP="003F345F">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404E26A6" w14:textId="64002826" w:rsidR="00071ABF" w:rsidRDefault="00C564C5" w:rsidP="00CD0965">
      <w:pPr>
        <w:pStyle w:val="a0"/>
        <w:rPr>
          <w:lang w:val="en-US" w:eastAsia="ko-KR"/>
        </w:rPr>
      </w:pPr>
      <w:r>
        <w:rPr>
          <w:rFonts w:hint="eastAsia"/>
          <w:lang w:val="en-US" w:eastAsia="ko-KR"/>
        </w:rPr>
        <w:t xml:space="preserve">[1] </w:t>
      </w:r>
      <w:r w:rsidR="00CB0FE6" w:rsidRPr="00CB0FE6">
        <w:rPr>
          <w:lang w:val="en-US" w:eastAsia="ko-KR"/>
        </w:rPr>
        <w:t>R4-2321608</w:t>
      </w:r>
      <w:r>
        <w:rPr>
          <w:lang w:val="en-US" w:eastAsia="ko-KR"/>
        </w:rPr>
        <w:t>, “</w:t>
      </w:r>
      <w:r w:rsidR="00CB0FE6" w:rsidRPr="00CB0FE6">
        <w:rPr>
          <w:lang w:val="en-US" w:eastAsia="ko-KR"/>
        </w:rPr>
        <w:t>WF on RRM requirements for NR ATG</w:t>
      </w:r>
      <w:r w:rsidR="00CB0FE6">
        <w:rPr>
          <w:lang w:val="en-US" w:eastAsia="ko-KR"/>
        </w:rPr>
        <w:t>,</w:t>
      </w:r>
      <w:r>
        <w:rPr>
          <w:lang w:val="en-US" w:eastAsia="ko-KR"/>
        </w:rPr>
        <w:t xml:space="preserve">” </w:t>
      </w:r>
      <w:r w:rsidR="00CB0FE6">
        <w:rPr>
          <w:lang w:val="en-US" w:eastAsia="ko-KR"/>
        </w:rPr>
        <w:t>CMCC</w:t>
      </w:r>
      <w:r>
        <w:rPr>
          <w:lang w:val="en-US" w:eastAsia="ko-KR"/>
        </w:rPr>
        <w:t>.</w:t>
      </w:r>
    </w:p>
    <w:sectPr w:rsid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6C8FB" w14:textId="77777777" w:rsidR="005210F6" w:rsidRDefault="005210F6" w:rsidP="00D306DF">
      <w:r>
        <w:separator/>
      </w:r>
    </w:p>
  </w:endnote>
  <w:endnote w:type="continuationSeparator" w:id="0">
    <w:p w14:paraId="16152B8A" w14:textId="77777777" w:rsidR="005210F6" w:rsidRDefault="005210F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E8CA9" w14:textId="77777777" w:rsidR="005210F6" w:rsidRDefault="005210F6" w:rsidP="00D306DF">
      <w:r>
        <w:separator/>
      </w:r>
    </w:p>
  </w:footnote>
  <w:footnote w:type="continuationSeparator" w:id="0">
    <w:p w14:paraId="6981AAC4" w14:textId="77777777" w:rsidR="005210F6" w:rsidRDefault="005210F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5750A3E"/>
    <w:multiLevelType w:val="hybridMultilevel"/>
    <w:tmpl w:val="1DFA43B2"/>
    <w:lvl w:ilvl="0" w:tplc="BA643FB4">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F13F9C"/>
    <w:multiLevelType w:val="hybridMultilevel"/>
    <w:tmpl w:val="54BE6098"/>
    <w:lvl w:ilvl="0" w:tplc="EFFC59A4">
      <w:start w:val="1"/>
      <w:numFmt w:val="bullet"/>
      <w:lvlText w:val="-"/>
      <w:lvlJc w:val="left"/>
      <w:pPr>
        <w:ind w:left="720" w:hanging="360"/>
      </w:pPr>
      <w:rPr>
        <w:rFonts w:ascii="Times" w:eastAsia="맑은 고딕" w:hAnsi="Times" w:cs="Times"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E94960"/>
    <w:multiLevelType w:val="multilevel"/>
    <w:tmpl w:val="9DE4D5F4"/>
    <w:lvl w:ilvl="0">
      <w:numFmt w:val="bullet"/>
      <w:lvlText w:val="-"/>
      <w:lvlJc w:val="left"/>
      <w:pPr>
        <w:ind w:left="386" w:hanging="360"/>
      </w:pPr>
      <w:rPr>
        <w:rFonts w:ascii="Times New Roman" w:eastAsiaTheme="minorEastAsia" w:hAnsi="Times New Roman" w:cs="Times New Roman" w:hint="default"/>
      </w:rPr>
    </w:lvl>
    <w:lvl w:ilvl="1">
      <w:start w:val="1"/>
      <w:numFmt w:val="bullet"/>
      <w:lvlText w:val=""/>
      <w:lvlJc w:val="left"/>
      <w:pPr>
        <w:ind w:left="826" w:hanging="400"/>
      </w:pPr>
      <w:rPr>
        <w:rFonts w:ascii="Wingdings" w:hAnsi="Wingdings" w:hint="default"/>
      </w:rPr>
    </w:lvl>
    <w:lvl w:ilvl="2">
      <w:start w:val="1"/>
      <w:numFmt w:val="bullet"/>
      <w:lvlText w:val="o"/>
      <w:lvlJc w:val="left"/>
      <w:pPr>
        <w:ind w:left="1226" w:hanging="400"/>
      </w:pPr>
      <w:rPr>
        <w:rFonts w:ascii="Courier New" w:hAnsi="Courier New" w:cs="Courier New" w:hint="default"/>
      </w:rPr>
    </w:lvl>
    <w:lvl w:ilvl="3">
      <w:start w:val="1"/>
      <w:numFmt w:val="bullet"/>
      <w:lvlText w:val=""/>
      <w:lvlJc w:val="left"/>
      <w:pPr>
        <w:ind w:left="1626" w:hanging="400"/>
      </w:pPr>
      <w:rPr>
        <w:rFonts w:ascii="Symbol" w:hAnsi="Symbol" w:hint="default"/>
        <w:lang w:val="en-US"/>
      </w:rPr>
    </w:lvl>
    <w:lvl w:ilvl="4">
      <w:start w:val="1"/>
      <w:numFmt w:val="bullet"/>
      <w:lvlText w:val=""/>
      <w:lvlJc w:val="left"/>
      <w:pPr>
        <w:ind w:left="2026" w:hanging="400"/>
      </w:pPr>
      <w:rPr>
        <w:rFonts w:ascii="Wingdings" w:hAnsi="Wingdings" w:hint="default"/>
      </w:rPr>
    </w:lvl>
    <w:lvl w:ilvl="5">
      <w:start w:val="1"/>
      <w:numFmt w:val="bullet"/>
      <w:lvlText w:val=""/>
      <w:lvlJc w:val="left"/>
      <w:pPr>
        <w:ind w:left="2426" w:hanging="400"/>
      </w:pPr>
      <w:rPr>
        <w:rFonts w:ascii="Wingdings" w:hAnsi="Wingdings" w:hint="default"/>
      </w:rPr>
    </w:lvl>
    <w:lvl w:ilvl="6">
      <w:start w:val="1"/>
      <w:numFmt w:val="bullet"/>
      <w:lvlText w:val=""/>
      <w:lvlJc w:val="left"/>
      <w:pPr>
        <w:ind w:left="2826" w:hanging="400"/>
      </w:pPr>
      <w:rPr>
        <w:rFonts w:ascii="Wingdings" w:hAnsi="Wingdings" w:hint="default"/>
      </w:rPr>
    </w:lvl>
    <w:lvl w:ilvl="7">
      <w:start w:val="1"/>
      <w:numFmt w:val="bullet"/>
      <w:lvlText w:val=""/>
      <w:lvlJc w:val="left"/>
      <w:pPr>
        <w:ind w:left="3226" w:hanging="400"/>
      </w:pPr>
      <w:rPr>
        <w:rFonts w:ascii="Wingdings" w:hAnsi="Wingdings" w:hint="default"/>
      </w:rPr>
    </w:lvl>
    <w:lvl w:ilvl="8">
      <w:start w:val="1"/>
      <w:numFmt w:val="bullet"/>
      <w:lvlText w:val=""/>
      <w:lvlJc w:val="left"/>
      <w:pPr>
        <w:ind w:left="3626" w:hanging="400"/>
      </w:pPr>
      <w:rPr>
        <w:rFonts w:ascii="Wingdings" w:hAnsi="Wingdings" w:hint="default"/>
      </w:rPr>
    </w:lvl>
  </w:abstractNum>
  <w:abstractNum w:abstractNumId="8">
    <w:nsid w:val="1B0E2549"/>
    <w:multiLevelType w:val="hybridMultilevel"/>
    <w:tmpl w:val="571A0AC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6453BE"/>
    <w:multiLevelType w:val="hybridMultilevel"/>
    <w:tmpl w:val="B35A1CE2"/>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2DA6041E"/>
    <w:multiLevelType w:val="hybridMultilevel"/>
    <w:tmpl w:val="F2D2227A"/>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1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03E16BC"/>
    <w:multiLevelType w:val="hybridMultilevel"/>
    <w:tmpl w:val="B7F81DF2"/>
    <w:lvl w:ilvl="0" w:tplc="6DCA58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F9C0EBD"/>
    <w:multiLevelType w:val="hybridMultilevel"/>
    <w:tmpl w:val="74402322"/>
    <w:lvl w:ilvl="0" w:tplc="DAD493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5"/>
  </w:num>
  <w:num w:numId="3">
    <w:abstractNumId w:val="25"/>
  </w:num>
  <w:num w:numId="4">
    <w:abstractNumId w:val="16"/>
  </w:num>
  <w:num w:numId="5">
    <w:abstractNumId w:val="12"/>
  </w:num>
  <w:num w:numId="6">
    <w:abstractNumId w:val="26"/>
  </w:num>
  <w:num w:numId="7">
    <w:abstractNumId w:val="22"/>
  </w:num>
  <w:num w:numId="8">
    <w:abstractNumId w:val="1"/>
  </w:num>
  <w:num w:numId="9">
    <w:abstractNumId w:val="35"/>
  </w:num>
  <w:num w:numId="10">
    <w:abstractNumId w:val="6"/>
  </w:num>
  <w:num w:numId="11">
    <w:abstractNumId w:val="30"/>
  </w:num>
  <w:num w:numId="12">
    <w:abstractNumId w:val="33"/>
  </w:num>
  <w:num w:numId="13">
    <w:abstractNumId w:val="15"/>
  </w:num>
  <w:num w:numId="14">
    <w:abstractNumId w:val="28"/>
  </w:num>
  <w:num w:numId="15">
    <w:abstractNumId w:val="17"/>
  </w:num>
  <w:num w:numId="16">
    <w:abstractNumId w:val="14"/>
  </w:num>
  <w:num w:numId="17">
    <w:abstractNumId w:val="20"/>
  </w:num>
  <w:num w:numId="18">
    <w:abstractNumId w:val="19"/>
  </w:num>
  <w:num w:numId="19">
    <w:abstractNumId w:val="3"/>
  </w:num>
  <w:num w:numId="20">
    <w:abstractNumId w:val="11"/>
  </w:num>
  <w:num w:numId="21">
    <w:abstractNumId w:val="27"/>
  </w:num>
  <w:num w:numId="22">
    <w:abstractNumId w:val="13"/>
  </w:num>
  <w:num w:numId="23">
    <w:abstractNumId w:val="29"/>
  </w:num>
  <w:num w:numId="24">
    <w:abstractNumId w:val="4"/>
  </w:num>
  <w:num w:numId="25">
    <w:abstractNumId w:val="24"/>
  </w:num>
  <w:num w:numId="26">
    <w:abstractNumId w:val="8"/>
  </w:num>
  <w:num w:numId="27">
    <w:abstractNumId w:val="9"/>
  </w:num>
  <w:num w:numId="28">
    <w:abstractNumId w:val="7"/>
  </w:num>
  <w:num w:numId="29">
    <w:abstractNumId w:val="34"/>
  </w:num>
  <w:num w:numId="30">
    <w:abstractNumId w:val="13"/>
  </w:num>
  <w:num w:numId="31">
    <w:abstractNumId w:val="13"/>
  </w:num>
  <w:num w:numId="32">
    <w:abstractNumId w:val="13"/>
  </w:num>
  <w:num w:numId="33">
    <w:abstractNumId w:val="13"/>
  </w:num>
  <w:num w:numId="34">
    <w:abstractNumId w:val="13"/>
  </w:num>
  <w:num w:numId="35">
    <w:abstractNumId w:val="0"/>
  </w:num>
  <w:num w:numId="36">
    <w:abstractNumId w:val="13"/>
  </w:num>
  <w:num w:numId="37">
    <w:abstractNumId w:val="18"/>
  </w:num>
  <w:num w:numId="38">
    <w:abstractNumId w:val="21"/>
  </w:num>
  <w:num w:numId="39">
    <w:abstractNumId w:val="13"/>
  </w:num>
  <w:num w:numId="40">
    <w:abstractNumId w:val="31"/>
  </w:num>
  <w:num w:numId="41">
    <w:abstractNumId w:val="13"/>
  </w:num>
  <w:num w:numId="42">
    <w:abstractNumId w:val="23"/>
  </w:num>
  <w:num w:numId="43">
    <w:abstractNumId w:val="13"/>
  </w:num>
  <w:num w:numId="44">
    <w:abstractNumId w:val="13"/>
  </w:num>
  <w:num w:numId="45">
    <w:abstractNumId w:val="13"/>
  </w:num>
  <w:num w:numId="46">
    <w:abstractNumId w:val="32"/>
  </w:num>
  <w:num w:numId="47">
    <w:abstractNumId w:val="10"/>
  </w:num>
  <w:num w:numId="48">
    <w:abstractNumId w:val="13"/>
  </w:num>
  <w:num w:numId="4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65BD"/>
    <w:rsid w:val="000066EA"/>
    <w:rsid w:val="00006915"/>
    <w:rsid w:val="00006FB2"/>
    <w:rsid w:val="0000715E"/>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AC4"/>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15D6"/>
    <w:rsid w:val="000C17C6"/>
    <w:rsid w:val="000C1B7F"/>
    <w:rsid w:val="000C62E1"/>
    <w:rsid w:val="000C71C8"/>
    <w:rsid w:val="000C72DB"/>
    <w:rsid w:val="000C7595"/>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87F"/>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0D8"/>
    <w:rsid w:val="001B6CE9"/>
    <w:rsid w:val="001C00CF"/>
    <w:rsid w:val="001C02D9"/>
    <w:rsid w:val="001C04D2"/>
    <w:rsid w:val="001C1C44"/>
    <w:rsid w:val="001C1FC1"/>
    <w:rsid w:val="001C2478"/>
    <w:rsid w:val="001C29DD"/>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4E0"/>
    <w:rsid w:val="00212CA5"/>
    <w:rsid w:val="00212D4E"/>
    <w:rsid w:val="00212D9A"/>
    <w:rsid w:val="0021385D"/>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68B"/>
    <w:rsid w:val="00261A52"/>
    <w:rsid w:val="0026340D"/>
    <w:rsid w:val="00263AF5"/>
    <w:rsid w:val="00264E44"/>
    <w:rsid w:val="00266BD1"/>
    <w:rsid w:val="00267630"/>
    <w:rsid w:val="0027093D"/>
    <w:rsid w:val="002711FE"/>
    <w:rsid w:val="00271E9F"/>
    <w:rsid w:val="00272E1E"/>
    <w:rsid w:val="00273781"/>
    <w:rsid w:val="00273AAA"/>
    <w:rsid w:val="00273E52"/>
    <w:rsid w:val="00274872"/>
    <w:rsid w:val="0027681A"/>
    <w:rsid w:val="0028194D"/>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D2"/>
    <w:rsid w:val="002A396A"/>
    <w:rsid w:val="002A3BBA"/>
    <w:rsid w:val="002A4B6E"/>
    <w:rsid w:val="002A5400"/>
    <w:rsid w:val="002A5BC9"/>
    <w:rsid w:val="002A70CD"/>
    <w:rsid w:val="002B2584"/>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7499"/>
    <w:rsid w:val="00400771"/>
    <w:rsid w:val="00400867"/>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56BA"/>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10F6"/>
    <w:rsid w:val="00522492"/>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1C17"/>
    <w:rsid w:val="005F2232"/>
    <w:rsid w:val="005F4ACA"/>
    <w:rsid w:val="005F4AE4"/>
    <w:rsid w:val="005F57EC"/>
    <w:rsid w:val="005F7CAB"/>
    <w:rsid w:val="00600939"/>
    <w:rsid w:val="006023F6"/>
    <w:rsid w:val="006024B3"/>
    <w:rsid w:val="00602BB4"/>
    <w:rsid w:val="00603094"/>
    <w:rsid w:val="00606790"/>
    <w:rsid w:val="00606E40"/>
    <w:rsid w:val="00607BE5"/>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01D9"/>
    <w:rsid w:val="0066210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C7917"/>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090"/>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EC"/>
    <w:rsid w:val="008012A9"/>
    <w:rsid w:val="00802752"/>
    <w:rsid w:val="00803C48"/>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9FE"/>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411A0"/>
    <w:rsid w:val="008422BA"/>
    <w:rsid w:val="00843431"/>
    <w:rsid w:val="008446B1"/>
    <w:rsid w:val="0084688F"/>
    <w:rsid w:val="00846B08"/>
    <w:rsid w:val="00847476"/>
    <w:rsid w:val="00850261"/>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0"/>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2C5"/>
    <w:rsid w:val="008D4540"/>
    <w:rsid w:val="008D4ED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10BA"/>
    <w:rsid w:val="0091161F"/>
    <w:rsid w:val="0091225B"/>
    <w:rsid w:val="009122D2"/>
    <w:rsid w:val="00913D6D"/>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4DC"/>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4F1C"/>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150"/>
    <w:rsid w:val="00AF6280"/>
    <w:rsid w:val="00AF6920"/>
    <w:rsid w:val="00AF6ACD"/>
    <w:rsid w:val="00AF6B44"/>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41838"/>
    <w:rsid w:val="00B43137"/>
    <w:rsid w:val="00B44313"/>
    <w:rsid w:val="00B443DF"/>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4411"/>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0FE6"/>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11DA"/>
    <w:rsid w:val="00D2178D"/>
    <w:rsid w:val="00D21831"/>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77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1508"/>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6027"/>
    <w:rsid w:val="00E563A5"/>
    <w:rsid w:val="00E5708C"/>
    <w:rsid w:val="00E5731B"/>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6D39"/>
    <w:rsid w:val="00EA7470"/>
    <w:rsid w:val="00EA74C5"/>
    <w:rsid w:val="00EB01F9"/>
    <w:rsid w:val="00EB0D40"/>
    <w:rsid w:val="00EB20CB"/>
    <w:rsid w:val="00EB2E06"/>
    <w:rsid w:val="00EB36E6"/>
    <w:rsid w:val="00EB422C"/>
    <w:rsid w:val="00EB61E8"/>
    <w:rsid w:val="00EB64F0"/>
    <w:rsid w:val="00EB6C6B"/>
    <w:rsid w:val="00EB70AF"/>
    <w:rsid w:val="00EB73F2"/>
    <w:rsid w:val="00EC059B"/>
    <w:rsid w:val="00EC0B06"/>
    <w:rsid w:val="00EC0D78"/>
    <w:rsid w:val="00EC1CE7"/>
    <w:rsid w:val="00EC2C45"/>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DAA"/>
    <w:rsid w:val="00EE2B83"/>
    <w:rsid w:val="00EE3C05"/>
    <w:rsid w:val="00EE5E9A"/>
    <w:rsid w:val="00EE6051"/>
    <w:rsid w:val="00EE69A2"/>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422"/>
    <w:rsid w:val="00F70183"/>
    <w:rsid w:val="00F707F1"/>
    <w:rsid w:val="00F722AD"/>
    <w:rsid w:val="00F72C97"/>
    <w:rsid w:val="00F737DC"/>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35"/>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84FA5-A0B0-4EFF-B7D8-BAA4DCBA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2751</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cp:revision>
  <dcterms:created xsi:type="dcterms:W3CDTF">2024-02-19T02:47:00Z</dcterms:created>
  <dcterms:modified xsi:type="dcterms:W3CDTF">2024-02-19T09:02:00Z</dcterms:modified>
</cp:coreProperties>
</file>